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A1" w:rsidRDefault="00797AE3" w:rsidP="00D31320">
      <w:pPr>
        <w:spacing w:line="360" w:lineRule="auto"/>
        <w:jc w:val="center"/>
        <w:rPr>
          <w:rFonts w:ascii="华文中宋" w:eastAsia="华文中宋" w:hAnsi="华文中宋"/>
          <w:b/>
          <w:sz w:val="36"/>
          <w:szCs w:val="36"/>
        </w:rPr>
      </w:pPr>
      <w:r w:rsidRPr="00797AE3">
        <w:rPr>
          <w:rFonts w:ascii="华文中宋" w:eastAsia="华文中宋" w:hAnsi="华文中宋" w:hint="eastAsia"/>
          <w:b/>
          <w:sz w:val="36"/>
          <w:szCs w:val="36"/>
        </w:rPr>
        <w:t>中英益利资产管理股份有限公司系列宣传</w:t>
      </w:r>
      <w:r w:rsidR="009D7443">
        <w:rPr>
          <w:rFonts w:ascii="华文中宋" w:eastAsia="华文中宋" w:hAnsi="华文中宋" w:hint="eastAsia"/>
          <w:b/>
          <w:sz w:val="36"/>
          <w:szCs w:val="36"/>
        </w:rPr>
        <w:t>五</w:t>
      </w:r>
      <w:r w:rsidRPr="00797AE3">
        <w:rPr>
          <w:rFonts w:ascii="华文中宋" w:eastAsia="华文中宋" w:hAnsi="华文中宋" w:hint="eastAsia"/>
          <w:b/>
          <w:sz w:val="36"/>
          <w:szCs w:val="36"/>
        </w:rPr>
        <w:t>——</w:t>
      </w:r>
    </w:p>
    <w:p w:rsidR="00C74DF8" w:rsidRPr="00797AE3" w:rsidRDefault="009D7443" w:rsidP="00D31320">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2</w:t>
      </w:r>
      <w:r>
        <w:rPr>
          <w:rFonts w:ascii="华文中宋" w:eastAsia="华文中宋" w:hAnsi="华文中宋"/>
          <w:b/>
          <w:sz w:val="36"/>
          <w:szCs w:val="36"/>
        </w:rPr>
        <w:t>019</w:t>
      </w:r>
      <w:r>
        <w:rPr>
          <w:rFonts w:ascii="华文中宋" w:eastAsia="华文中宋" w:hAnsi="华文中宋" w:hint="eastAsia"/>
          <w:b/>
          <w:sz w:val="36"/>
          <w:szCs w:val="36"/>
        </w:rPr>
        <w:t>年保险业</w:t>
      </w:r>
      <w:r w:rsidR="001E4C27">
        <w:rPr>
          <w:rFonts w:ascii="华文中宋" w:eastAsia="华文中宋" w:hAnsi="华文中宋" w:hint="eastAsia"/>
          <w:b/>
          <w:sz w:val="36"/>
          <w:szCs w:val="36"/>
        </w:rPr>
        <w:t>洗钱风险态势</w:t>
      </w:r>
    </w:p>
    <w:p w:rsidR="00797AE3" w:rsidRDefault="00797AE3" w:rsidP="00D31320">
      <w:pPr>
        <w:spacing w:line="360" w:lineRule="auto"/>
        <w:rPr>
          <w:rFonts w:ascii="华文中宋" w:eastAsia="华文中宋" w:hAnsi="华文中宋"/>
          <w:b/>
          <w:sz w:val="44"/>
          <w:szCs w:val="44"/>
        </w:rPr>
      </w:pPr>
    </w:p>
    <w:p w:rsidR="009D7443" w:rsidRDefault="00493AA4" w:rsidP="00D31320">
      <w:pPr>
        <w:spacing w:line="360" w:lineRule="auto"/>
        <w:ind w:firstLineChars="200" w:firstLine="668"/>
        <w:rPr>
          <w:rFonts w:ascii="仿宋" w:eastAsia="仿宋" w:hAnsi="仿宋"/>
          <w:sz w:val="32"/>
          <w:szCs w:val="32"/>
        </w:rPr>
      </w:pPr>
      <w:r w:rsidRPr="00CA7D6E">
        <w:rPr>
          <w:rFonts w:ascii="仿宋" w:eastAsia="仿宋" w:hAnsi="仿宋" w:cs="宋体"/>
          <w:color w:val="333333"/>
          <w:spacing w:val="7"/>
          <w:kern w:val="0"/>
          <w:sz w:val="32"/>
          <w:szCs w:val="32"/>
        </w:rPr>
        <w:t>2020</w:t>
      </w:r>
      <w:r w:rsidRPr="00CA7D6E">
        <w:rPr>
          <w:rFonts w:ascii="仿宋" w:eastAsia="仿宋" w:hAnsi="仿宋" w:cs="宋体" w:hint="eastAsia"/>
          <w:color w:val="333333"/>
          <w:spacing w:val="7"/>
          <w:kern w:val="0"/>
          <w:sz w:val="32"/>
          <w:szCs w:val="32"/>
        </w:rPr>
        <w:t>年</w:t>
      </w:r>
      <w:r w:rsidR="009D7443">
        <w:rPr>
          <w:rFonts w:ascii="仿宋" w:eastAsia="仿宋" w:hAnsi="仿宋" w:cs="宋体" w:hint="eastAsia"/>
          <w:color w:val="333333"/>
          <w:spacing w:val="7"/>
          <w:kern w:val="0"/>
          <w:sz w:val="32"/>
          <w:szCs w:val="32"/>
        </w:rPr>
        <w:t>4</w:t>
      </w:r>
      <w:r w:rsidR="002C1EAA" w:rsidRPr="00CA7D6E">
        <w:rPr>
          <w:rFonts w:ascii="仿宋" w:eastAsia="仿宋" w:hAnsi="仿宋" w:cs="宋体" w:hint="eastAsia"/>
          <w:color w:val="333333"/>
          <w:spacing w:val="7"/>
          <w:kern w:val="0"/>
          <w:sz w:val="32"/>
          <w:szCs w:val="32"/>
        </w:rPr>
        <w:t>月</w:t>
      </w:r>
      <w:r w:rsidR="009D7443">
        <w:rPr>
          <w:rFonts w:ascii="仿宋" w:eastAsia="仿宋" w:hAnsi="仿宋" w:cs="宋体" w:hint="eastAsia"/>
          <w:color w:val="333333"/>
          <w:spacing w:val="7"/>
          <w:kern w:val="0"/>
          <w:sz w:val="32"/>
          <w:szCs w:val="32"/>
        </w:rPr>
        <w:t>10</w:t>
      </w:r>
      <w:r w:rsidR="002C1EAA" w:rsidRPr="00CA7D6E">
        <w:rPr>
          <w:rFonts w:ascii="仿宋" w:eastAsia="仿宋" w:hAnsi="仿宋" w:cs="宋体" w:hint="eastAsia"/>
          <w:color w:val="333333"/>
          <w:spacing w:val="7"/>
          <w:kern w:val="0"/>
          <w:sz w:val="32"/>
          <w:szCs w:val="32"/>
        </w:rPr>
        <w:t>日，</w:t>
      </w:r>
      <w:r w:rsidR="009D7443">
        <w:rPr>
          <w:rFonts w:ascii="仿宋" w:eastAsia="仿宋" w:hAnsi="仿宋" w:cs="宋体" w:hint="eastAsia"/>
          <w:color w:val="333333"/>
          <w:spacing w:val="7"/>
          <w:kern w:val="0"/>
          <w:sz w:val="32"/>
          <w:szCs w:val="32"/>
        </w:rPr>
        <w:t>《上海证券报》消息，</w:t>
      </w:r>
      <w:r w:rsidR="009D7443" w:rsidRPr="001D4B5C">
        <w:rPr>
          <w:rFonts w:ascii="仿宋" w:eastAsia="仿宋" w:hAnsi="仿宋" w:hint="eastAsia"/>
          <w:sz w:val="32"/>
          <w:szCs w:val="32"/>
        </w:rPr>
        <w:t>2019年全年保险业协助各级公安、司法、监察机关等查证涉嫌洗钱案件总体呈增长态势。全行业共报告案件937件，同比增长39.2%；涉案金额20.9亿元，同比增长57.1%；案均金额223.1万元。</w:t>
      </w:r>
      <w:r w:rsidR="00F1295B">
        <w:rPr>
          <w:rFonts w:ascii="仿宋" w:eastAsia="仿宋" w:hAnsi="仿宋" w:hint="eastAsia"/>
          <w:sz w:val="32"/>
          <w:szCs w:val="32"/>
        </w:rPr>
        <w:t>主要呈现以下几个特点：</w:t>
      </w:r>
    </w:p>
    <w:p w:rsidR="00B91E6D" w:rsidRPr="00B91E6D" w:rsidRDefault="00F1295B" w:rsidP="00D31320">
      <w:pPr>
        <w:spacing w:line="360" w:lineRule="auto"/>
        <w:ind w:firstLineChars="200" w:firstLine="643"/>
        <w:rPr>
          <w:rFonts w:ascii="仿宋" w:eastAsia="仿宋" w:hAnsi="仿宋" w:hint="eastAsia"/>
          <w:b/>
          <w:bCs/>
          <w:sz w:val="32"/>
          <w:szCs w:val="32"/>
        </w:rPr>
      </w:pPr>
      <w:r>
        <w:rPr>
          <w:rFonts w:ascii="仿宋" w:eastAsia="仿宋" w:hAnsi="仿宋" w:hint="eastAsia"/>
          <w:b/>
          <w:bCs/>
          <w:sz w:val="32"/>
          <w:szCs w:val="32"/>
        </w:rPr>
        <w:t>一、</w:t>
      </w:r>
      <w:r w:rsidR="00B91E6D" w:rsidRPr="00B91E6D">
        <w:rPr>
          <w:rFonts w:ascii="仿宋" w:eastAsia="仿宋" w:hAnsi="仿宋" w:hint="eastAsia"/>
          <w:b/>
          <w:bCs/>
          <w:sz w:val="32"/>
          <w:szCs w:val="32"/>
        </w:rPr>
        <w:t>洗钱集中在三类产品</w:t>
      </w:r>
    </w:p>
    <w:p w:rsidR="009D7443" w:rsidRDefault="009D7443" w:rsidP="00D31320">
      <w:pPr>
        <w:spacing w:line="360" w:lineRule="auto"/>
        <w:ind w:firstLineChars="200" w:firstLine="640"/>
        <w:rPr>
          <w:rFonts w:ascii="仿宋" w:eastAsia="仿宋" w:hAnsi="仿宋"/>
          <w:sz w:val="32"/>
          <w:szCs w:val="32"/>
        </w:rPr>
      </w:pPr>
      <w:r w:rsidRPr="001D4B5C">
        <w:rPr>
          <w:rFonts w:ascii="仿宋" w:eastAsia="仿宋" w:hAnsi="仿宋" w:hint="eastAsia"/>
          <w:sz w:val="32"/>
          <w:szCs w:val="32"/>
        </w:rPr>
        <w:t>从</w:t>
      </w:r>
      <w:r>
        <w:rPr>
          <w:rFonts w:ascii="仿宋" w:eastAsia="仿宋" w:hAnsi="仿宋" w:hint="eastAsia"/>
          <w:sz w:val="32"/>
          <w:szCs w:val="32"/>
        </w:rPr>
        <w:t>2</w:t>
      </w:r>
      <w:r>
        <w:rPr>
          <w:rFonts w:ascii="仿宋" w:eastAsia="仿宋" w:hAnsi="仿宋"/>
          <w:sz w:val="32"/>
          <w:szCs w:val="32"/>
        </w:rPr>
        <w:t>019</w:t>
      </w:r>
      <w:r w:rsidRPr="001D4B5C">
        <w:rPr>
          <w:rFonts w:ascii="仿宋" w:eastAsia="仿宋" w:hAnsi="仿宋" w:hint="eastAsia"/>
          <w:sz w:val="32"/>
          <w:szCs w:val="32"/>
        </w:rPr>
        <w:t>年保险业协助相关部门“剿黑金”的案例中可发现，洗钱高风险保险产品主要集中于人身险公司，涉案金额占比高达99.5%。其中，多数发生在分红险、万能险、投连险等三类投资型产品，涉案金额占比66.5%；年金、终身寿险、定期寿险、两全保险等储蓄型产品，涉案金额占比30.1%；健康险、意外险等消费型产品，涉案金额占比3.4%。</w:t>
      </w:r>
    </w:p>
    <w:p w:rsidR="00B91E6D" w:rsidRPr="00B91E6D" w:rsidRDefault="00F1295B" w:rsidP="00D31320">
      <w:pPr>
        <w:spacing w:line="360" w:lineRule="auto"/>
        <w:ind w:firstLineChars="200" w:firstLine="643"/>
        <w:rPr>
          <w:rFonts w:ascii="仿宋" w:eastAsia="仿宋" w:hAnsi="仿宋" w:hint="eastAsia"/>
          <w:b/>
          <w:bCs/>
          <w:sz w:val="32"/>
          <w:szCs w:val="32"/>
        </w:rPr>
      </w:pPr>
      <w:r>
        <w:rPr>
          <w:rFonts w:ascii="仿宋" w:eastAsia="仿宋" w:hAnsi="仿宋" w:hint="eastAsia"/>
          <w:b/>
          <w:bCs/>
          <w:sz w:val="32"/>
          <w:szCs w:val="32"/>
        </w:rPr>
        <w:t>二、</w:t>
      </w:r>
      <w:r w:rsidR="00B91E6D" w:rsidRPr="00B91E6D">
        <w:rPr>
          <w:rFonts w:ascii="仿宋" w:eastAsia="仿宋" w:hAnsi="仿宋" w:hint="eastAsia"/>
          <w:b/>
          <w:bCs/>
          <w:sz w:val="32"/>
          <w:szCs w:val="32"/>
        </w:rPr>
        <w:t>洗钱集中在三</w:t>
      </w:r>
      <w:r w:rsidR="00B91E6D">
        <w:rPr>
          <w:rFonts w:ascii="仿宋" w:eastAsia="仿宋" w:hAnsi="仿宋" w:hint="eastAsia"/>
          <w:b/>
          <w:bCs/>
          <w:sz w:val="32"/>
          <w:szCs w:val="32"/>
        </w:rPr>
        <w:t>条</w:t>
      </w:r>
      <w:r w:rsidR="000F045C">
        <w:rPr>
          <w:rFonts w:ascii="仿宋" w:eastAsia="仿宋" w:hAnsi="仿宋" w:hint="eastAsia"/>
          <w:b/>
          <w:bCs/>
          <w:sz w:val="32"/>
          <w:szCs w:val="32"/>
        </w:rPr>
        <w:t>渠道</w:t>
      </w:r>
    </w:p>
    <w:p w:rsidR="00B91E6D" w:rsidRPr="001D4B5C" w:rsidRDefault="00B91E6D" w:rsidP="00D31320">
      <w:pPr>
        <w:spacing w:line="360" w:lineRule="auto"/>
        <w:ind w:firstLineChars="200" w:firstLine="640"/>
        <w:rPr>
          <w:rFonts w:ascii="仿宋" w:eastAsia="仿宋" w:hAnsi="仿宋"/>
          <w:sz w:val="32"/>
          <w:szCs w:val="32"/>
        </w:rPr>
      </w:pPr>
      <w:r w:rsidRPr="001D4B5C">
        <w:rPr>
          <w:rFonts w:ascii="仿宋" w:eastAsia="仿宋" w:hAnsi="仿宋" w:hint="eastAsia"/>
          <w:sz w:val="32"/>
          <w:szCs w:val="32"/>
        </w:rPr>
        <w:t>易被不法分子借以洗钱的保险渠道，目前有三类：最常见的是银邮渠道，去年涉案金额15.3亿元，占比73.2%；其次是个人代理渠道，去年涉案金额3.5亿元，占比16.7%；第三类是专业中介机构、电话、网络等渠道，去年涉案金额2.1亿元，占比10.1%。</w:t>
      </w:r>
    </w:p>
    <w:p w:rsidR="00C05F94" w:rsidRDefault="00F1295B" w:rsidP="00D31320">
      <w:pPr>
        <w:spacing w:line="360" w:lineRule="auto"/>
        <w:ind w:firstLineChars="200" w:firstLine="643"/>
        <w:rPr>
          <w:rFonts w:ascii="仿宋" w:eastAsia="仿宋" w:hAnsi="仿宋"/>
          <w:b/>
          <w:bCs/>
          <w:sz w:val="32"/>
          <w:szCs w:val="32"/>
        </w:rPr>
      </w:pPr>
      <w:r>
        <w:rPr>
          <w:rFonts w:ascii="仿宋" w:eastAsia="仿宋" w:hAnsi="仿宋" w:hint="eastAsia"/>
          <w:b/>
          <w:bCs/>
          <w:sz w:val="32"/>
          <w:szCs w:val="32"/>
        </w:rPr>
        <w:lastRenderedPageBreak/>
        <w:t>三、</w:t>
      </w:r>
      <w:r w:rsidR="00C05F94" w:rsidRPr="00811AA3">
        <w:rPr>
          <w:rFonts w:ascii="仿宋" w:eastAsia="仿宋" w:hAnsi="仿宋" w:hint="eastAsia"/>
          <w:b/>
          <w:bCs/>
          <w:sz w:val="32"/>
          <w:szCs w:val="32"/>
        </w:rPr>
        <w:t>洗钱手法隐蔽性高</w:t>
      </w:r>
    </w:p>
    <w:p w:rsidR="007F5C7C" w:rsidRDefault="00D31320" w:rsidP="006A29B8">
      <w:pPr>
        <w:spacing w:line="360" w:lineRule="auto"/>
        <w:ind w:firstLineChars="200" w:firstLine="640"/>
        <w:rPr>
          <w:rFonts w:ascii="仿宋" w:eastAsia="仿宋" w:hAnsi="仿宋"/>
          <w:sz w:val="32"/>
          <w:szCs w:val="32"/>
        </w:rPr>
      </w:pPr>
      <w:r w:rsidRPr="001D4B5C">
        <w:rPr>
          <w:rFonts w:ascii="仿宋" w:eastAsia="仿宋" w:hAnsi="仿宋" w:hint="eastAsia"/>
          <w:sz w:val="32"/>
          <w:szCs w:val="32"/>
        </w:rPr>
        <w:t>与其他金融行业相比，保险业目前遭遇的洗钱冲击相对较小，但保险产品和保险交易的固有特性（投保自由、退保自愿、缴费方式灵活、可以保单贷款等），为洗钱者提供了可以利用的平台，并且呈现手段多样化、隐蔽性高的趋势。</w:t>
      </w:r>
      <w:r w:rsidR="006A29B8" w:rsidRPr="001D4B5C">
        <w:rPr>
          <w:rFonts w:ascii="仿宋" w:eastAsia="仿宋" w:hAnsi="仿宋" w:hint="eastAsia"/>
          <w:sz w:val="32"/>
          <w:szCs w:val="32"/>
        </w:rPr>
        <w:t>一是隐瞒真实身份和职业。部分案件当事人，或虚增收入，或杜撰自由职业、私营企业主等身份，以逃避保险公司强化的客户身份识别措施。二是在多家公司分散投保。</w:t>
      </w:r>
      <w:r w:rsidR="006A29B8">
        <w:rPr>
          <w:rFonts w:ascii="仿宋" w:eastAsia="仿宋" w:hAnsi="仿宋" w:hint="eastAsia"/>
          <w:sz w:val="32"/>
          <w:szCs w:val="32"/>
        </w:rPr>
        <w:t>2</w:t>
      </w:r>
      <w:r w:rsidR="006A29B8">
        <w:rPr>
          <w:rFonts w:ascii="仿宋" w:eastAsia="仿宋" w:hAnsi="仿宋"/>
          <w:sz w:val="32"/>
          <w:szCs w:val="32"/>
        </w:rPr>
        <w:t>019</w:t>
      </w:r>
      <w:r w:rsidR="006A29B8">
        <w:rPr>
          <w:rFonts w:ascii="仿宋" w:eastAsia="仿宋" w:hAnsi="仿宋" w:hint="eastAsia"/>
          <w:sz w:val="32"/>
          <w:szCs w:val="32"/>
        </w:rPr>
        <w:t>年</w:t>
      </w:r>
      <w:r w:rsidR="006A29B8" w:rsidRPr="001D4B5C">
        <w:rPr>
          <w:rFonts w:ascii="仿宋" w:eastAsia="仿宋" w:hAnsi="仿宋" w:hint="eastAsia"/>
          <w:sz w:val="32"/>
          <w:szCs w:val="32"/>
        </w:rPr>
        <w:t>行业共发现60起案件的当事人在两家或两家以上保险公司投保，涉案金额合计5.7亿元，占全部涉案金额的27.3%。</w:t>
      </w:r>
    </w:p>
    <w:p w:rsidR="006A29B8" w:rsidRDefault="007F5C7C" w:rsidP="006A29B8">
      <w:pPr>
        <w:spacing w:line="360" w:lineRule="auto"/>
        <w:ind w:firstLineChars="200" w:firstLine="640"/>
        <w:rPr>
          <w:rFonts w:ascii="仿宋" w:eastAsia="仿宋" w:hAnsi="仿宋"/>
          <w:sz w:val="32"/>
          <w:szCs w:val="32"/>
        </w:rPr>
      </w:pPr>
      <w:r w:rsidRPr="001D4B5C">
        <w:rPr>
          <w:rFonts w:ascii="仿宋" w:eastAsia="仿宋" w:hAnsi="仿宋" w:hint="eastAsia"/>
          <w:sz w:val="32"/>
          <w:szCs w:val="32"/>
        </w:rPr>
        <w:t>不法分子将非法所得通过购买保险产品，再通过配套方式，将保险产品“洗”出合法收入</w:t>
      </w:r>
      <w:r>
        <w:rPr>
          <w:rFonts w:ascii="仿宋" w:eastAsia="仿宋" w:hAnsi="仿宋" w:hint="eastAsia"/>
          <w:sz w:val="32"/>
          <w:szCs w:val="32"/>
        </w:rPr>
        <w:t>。</w:t>
      </w:r>
    </w:p>
    <w:p w:rsidR="007F5C7C" w:rsidRDefault="007F5C7C" w:rsidP="006A29B8">
      <w:pPr>
        <w:spacing w:line="360" w:lineRule="auto"/>
        <w:ind w:firstLineChars="200" w:firstLine="640"/>
        <w:rPr>
          <w:rFonts w:ascii="仿宋" w:eastAsia="仿宋" w:hAnsi="仿宋" w:hint="eastAsia"/>
          <w:sz w:val="32"/>
          <w:szCs w:val="32"/>
        </w:rPr>
      </w:pPr>
      <w:r w:rsidRPr="00E16B08">
        <w:rPr>
          <w:rFonts w:ascii="仿宋" w:eastAsia="仿宋" w:hAnsi="仿宋" w:cs="宋体"/>
          <w:noProof/>
          <w:kern w:val="0"/>
          <w:sz w:val="32"/>
          <w:szCs w:val="32"/>
        </w:rPr>
        <w:drawing>
          <wp:inline distT="0" distB="0" distL="0" distR="0" wp14:anchorId="32B1CC76" wp14:editId="69FD92F2">
            <wp:extent cx="4196887" cy="3000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6970" cy="3007584"/>
                    </a:xfrm>
                    <a:prstGeom prst="rect">
                      <a:avLst/>
                    </a:prstGeom>
                    <a:noFill/>
                    <a:ln>
                      <a:noFill/>
                    </a:ln>
                  </pic:spPr>
                </pic:pic>
              </a:graphicData>
            </a:graphic>
          </wp:inline>
        </w:drawing>
      </w:r>
    </w:p>
    <w:p w:rsidR="00924B3E" w:rsidRPr="00924B3E" w:rsidRDefault="00924B3E" w:rsidP="006A29B8">
      <w:pPr>
        <w:spacing w:line="360" w:lineRule="auto"/>
        <w:ind w:firstLineChars="200" w:firstLine="643"/>
        <w:rPr>
          <w:rFonts w:ascii="仿宋" w:eastAsia="仿宋" w:hAnsi="仿宋" w:hint="eastAsia"/>
          <w:b/>
          <w:bCs/>
          <w:sz w:val="32"/>
          <w:szCs w:val="32"/>
        </w:rPr>
      </w:pPr>
      <w:r w:rsidRPr="00924B3E">
        <w:rPr>
          <w:rFonts w:ascii="仿宋" w:eastAsia="仿宋" w:hAnsi="仿宋" w:hint="eastAsia"/>
          <w:b/>
          <w:bCs/>
          <w:sz w:val="32"/>
          <w:szCs w:val="32"/>
        </w:rPr>
        <w:t>四、反洗钱能力有待提高</w:t>
      </w:r>
    </w:p>
    <w:p w:rsidR="00662C84" w:rsidRDefault="00662C84" w:rsidP="007F5C7C">
      <w:pPr>
        <w:spacing w:line="360" w:lineRule="auto"/>
        <w:ind w:firstLineChars="200" w:firstLine="640"/>
        <w:rPr>
          <w:rFonts w:ascii="仿宋" w:eastAsia="仿宋" w:hAnsi="仿宋"/>
          <w:sz w:val="32"/>
          <w:szCs w:val="32"/>
        </w:rPr>
      </w:pPr>
      <w:r w:rsidRPr="001D4B5C">
        <w:rPr>
          <w:rFonts w:ascii="仿宋" w:eastAsia="仿宋" w:hAnsi="仿宋" w:hint="eastAsia"/>
          <w:sz w:val="32"/>
          <w:szCs w:val="32"/>
        </w:rPr>
        <w:t>从目前来看，保险公司事先发现可疑交易的能力仍有待</w:t>
      </w:r>
      <w:r w:rsidRPr="001D4B5C">
        <w:rPr>
          <w:rFonts w:ascii="仿宋" w:eastAsia="仿宋" w:hAnsi="仿宋" w:hint="eastAsia"/>
          <w:sz w:val="32"/>
          <w:szCs w:val="32"/>
        </w:rPr>
        <w:lastRenderedPageBreak/>
        <w:t>提高。部分保险公司在客户尽职调查方面仍以查阅投保资料等常规手段为主，未将反洗钱指标纳入契约访谈、财务核保规则，外部数据查询及使用、财务调查、实地查访等调查措施应用不足。</w:t>
      </w:r>
    </w:p>
    <w:p w:rsidR="00C05F94" w:rsidRPr="001D4B5C" w:rsidRDefault="007F5C7C" w:rsidP="007F5C7C">
      <w:pPr>
        <w:ind w:firstLineChars="200" w:firstLine="640"/>
        <w:rPr>
          <w:rFonts w:ascii="仿宋" w:eastAsia="仿宋" w:hAnsi="仿宋"/>
          <w:sz w:val="32"/>
          <w:szCs w:val="32"/>
        </w:rPr>
      </w:pPr>
      <w:r w:rsidRPr="001D4B5C">
        <w:rPr>
          <w:rFonts w:ascii="仿宋" w:eastAsia="仿宋" w:hAnsi="仿宋" w:hint="eastAsia"/>
          <w:sz w:val="32"/>
          <w:szCs w:val="32"/>
        </w:rPr>
        <w:t>就</w:t>
      </w:r>
      <w:r>
        <w:rPr>
          <w:rFonts w:ascii="仿宋" w:eastAsia="仿宋" w:hAnsi="仿宋" w:hint="eastAsia"/>
          <w:sz w:val="32"/>
          <w:szCs w:val="32"/>
        </w:rPr>
        <w:t>上述</w:t>
      </w:r>
      <w:r w:rsidRPr="001D4B5C">
        <w:rPr>
          <w:rFonts w:ascii="仿宋" w:eastAsia="仿宋" w:hAnsi="仿宋" w:hint="eastAsia"/>
          <w:sz w:val="32"/>
          <w:szCs w:val="32"/>
        </w:rPr>
        <w:t>问题，</w:t>
      </w:r>
      <w:r>
        <w:rPr>
          <w:rFonts w:ascii="仿宋" w:eastAsia="仿宋" w:hAnsi="仿宋" w:hint="eastAsia"/>
          <w:sz w:val="32"/>
          <w:szCs w:val="32"/>
        </w:rPr>
        <w:t>保险</w:t>
      </w:r>
      <w:r w:rsidRPr="001D4B5C">
        <w:rPr>
          <w:rFonts w:ascii="仿宋" w:eastAsia="仿宋" w:hAnsi="仿宋" w:hint="eastAsia"/>
          <w:sz w:val="32"/>
          <w:szCs w:val="32"/>
        </w:rPr>
        <w:t>行业应继续完善洗钱案件风险评估，强化可疑交易监测和报告，采取多种手段深入了解</w:t>
      </w:r>
      <w:r>
        <w:rPr>
          <w:rFonts w:ascii="仿宋" w:eastAsia="仿宋" w:hAnsi="仿宋" w:hint="eastAsia"/>
          <w:sz w:val="32"/>
          <w:szCs w:val="32"/>
        </w:rPr>
        <w:t>可疑</w:t>
      </w:r>
      <w:r w:rsidRPr="001D4B5C">
        <w:rPr>
          <w:rFonts w:ascii="仿宋" w:eastAsia="仿宋" w:hAnsi="仿宋" w:hint="eastAsia"/>
          <w:sz w:val="32"/>
          <w:szCs w:val="32"/>
        </w:rPr>
        <w:t>客户</w:t>
      </w:r>
      <w:r>
        <w:rPr>
          <w:rFonts w:ascii="仿宋" w:eastAsia="仿宋" w:hAnsi="仿宋" w:hint="eastAsia"/>
          <w:sz w:val="32"/>
          <w:szCs w:val="32"/>
        </w:rPr>
        <w:t>的</w:t>
      </w:r>
      <w:r w:rsidRPr="001D4B5C">
        <w:rPr>
          <w:rFonts w:ascii="仿宋" w:eastAsia="仿宋" w:hAnsi="仿宋" w:hint="eastAsia"/>
          <w:sz w:val="32"/>
          <w:szCs w:val="32"/>
        </w:rPr>
        <w:t>经营活动状况、财产或资金来源，询问交易目的，核实交易动机，妥善处置洗钱案件风险。</w:t>
      </w:r>
      <w:bookmarkStart w:id="0" w:name="_GoBack"/>
      <w:bookmarkEnd w:id="0"/>
    </w:p>
    <w:sectPr w:rsidR="00C05F94" w:rsidRPr="001D4B5C" w:rsidSect="0006145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46C" w:rsidRDefault="00CC246C" w:rsidP="00A4766F">
      <w:r>
        <w:separator/>
      </w:r>
    </w:p>
  </w:endnote>
  <w:endnote w:type="continuationSeparator" w:id="0">
    <w:p w:rsidR="00CC246C" w:rsidRDefault="00CC246C" w:rsidP="00A4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124022"/>
      <w:docPartObj>
        <w:docPartGallery w:val="Page Numbers (Bottom of Page)"/>
        <w:docPartUnique/>
      </w:docPartObj>
    </w:sdtPr>
    <w:sdtEndPr/>
    <w:sdtContent>
      <w:sdt>
        <w:sdtPr>
          <w:id w:val="1728636285"/>
          <w:docPartObj>
            <w:docPartGallery w:val="Page Numbers (Top of Page)"/>
            <w:docPartUnique/>
          </w:docPartObj>
        </w:sdtPr>
        <w:sdtEndPr/>
        <w:sdtContent>
          <w:p w:rsidR="00CB3F83" w:rsidRDefault="00CB3F8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CB3F83" w:rsidRDefault="00CB3F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46C" w:rsidRDefault="00CC246C" w:rsidP="00A4766F">
      <w:r>
        <w:separator/>
      </w:r>
    </w:p>
  </w:footnote>
  <w:footnote w:type="continuationSeparator" w:id="0">
    <w:p w:rsidR="00CC246C" w:rsidRDefault="00CC246C" w:rsidP="00A4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A0D64"/>
    <w:multiLevelType w:val="hybridMultilevel"/>
    <w:tmpl w:val="0B180FF6"/>
    <w:lvl w:ilvl="0" w:tplc="3CA26B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F945246"/>
    <w:multiLevelType w:val="hybridMultilevel"/>
    <w:tmpl w:val="D2C2EC7C"/>
    <w:lvl w:ilvl="0" w:tplc="1BA03CB2">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6D1280"/>
    <w:multiLevelType w:val="hybridMultilevel"/>
    <w:tmpl w:val="5CEE72C6"/>
    <w:lvl w:ilvl="0" w:tplc="00AE6288">
      <w:start w:val="1"/>
      <w:numFmt w:val="japaneseCounting"/>
      <w:lvlText w:val="%1、"/>
      <w:lvlJc w:val="left"/>
      <w:pPr>
        <w:ind w:left="1388" w:hanging="720"/>
      </w:pPr>
      <w:rPr>
        <w:rFonts w:hint="default"/>
        <w:b w:val="0"/>
        <w:color w:val="333333"/>
      </w:rPr>
    </w:lvl>
    <w:lvl w:ilvl="1" w:tplc="04090019" w:tentative="1">
      <w:start w:val="1"/>
      <w:numFmt w:val="lowerLetter"/>
      <w:lvlText w:val="%2)"/>
      <w:lvlJc w:val="left"/>
      <w:pPr>
        <w:ind w:left="1508" w:hanging="420"/>
      </w:pPr>
    </w:lvl>
    <w:lvl w:ilvl="2" w:tplc="0409001B" w:tentative="1">
      <w:start w:val="1"/>
      <w:numFmt w:val="lowerRoman"/>
      <w:lvlText w:val="%3."/>
      <w:lvlJc w:val="right"/>
      <w:pPr>
        <w:ind w:left="1928" w:hanging="420"/>
      </w:pPr>
    </w:lvl>
    <w:lvl w:ilvl="3" w:tplc="0409000F" w:tentative="1">
      <w:start w:val="1"/>
      <w:numFmt w:val="decimal"/>
      <w:lvlText w:val="%4."/>
      <w:lvlJc w:val="left"/>
      <w:pPr>
        <w:ind w:left="2348" w:hanging="420"/>
      </w:pPr>
    </w:lvl>
    <w:lvl w:ilvl="4" w:tplc="04090019" w:tentative="1">
      <w:start w:val="1"/>
      <w:numFmt w:val="lowerLetter"/>
      <w:lvlText w:val="%5)"/>
      <w:lvlJc w:val="left"/>
      <w:pPr>
        <w:ind w:left="2768" w:hanging="420"/>
      </w:pPr>
    </w:lvl>
    <w:lvl w:ilvl="5" w:tplc="0409001B" w:tentative="1">
      <w:start w:val="1"/>
      <w:numFmt w:val="lowerRoman"/>
      <w:lvlText w:val="%6."/>
      <w:lvlJc w:val="right"/>
      <w:pPr>
        <w:ind w:left="3188" w:hanging="420"/>
      </w:pPr>
    </w:lvl>
    <w:lvl w:ilvl="6" w:tplc="0409000F" w:tentative="1">
      <w:start w:val="1"/>
      <w:numFmt w:val="decimal"/>
      <w:lvlText w:val="%7."/>
      <w:lvlJc w:val="left"/>
      <w:pPr>
        <w:ind w:left="3608" w:hanging="420"/>
      </w:pPr>
    </w:lvl>
    <w:lvl w:ilvl="7" w:tplc="04090019" w:tentative="1">
      <w:start w:val="1"/>
      <w:numFmt w:val="lowerLetter"/>
      <w:lvlText w:val="%8)"/>
      <w:lvlJc w:val="left"/>
      <w:pPr>
        <w:ind w:left="4028" w:hanging="420"/>
      </w:pPr>
    </w:lvl>
    <w:lvl w:ilvl="8" w:tplc="0409001B" w:tentative="1">
      <w:start w:val="1"/>
      <w:numFmt w:val="lowerRoman"/>
      <w:lvlText w:val="%9."/>
      <w:lvlJc w:val="right"/>
      <w:pPr>
        <w:ind w:left="4448"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65AE"/>
    <w:rsid w:val="00022347"/>
    <w:rsid w:val="00041E60"/>
    <w:rsid w:val="000519CC"/>
    <w:rsid w:val="0006145E"/>
    <w:rsid w:val="0007170F"/>
    <w:rsid w:val="000B1225"/>
    <w:rsid w:val="000B7B65"/>
    <w:rsid w:val="000F045C"/>
    <w:rsid w:val="00100DF4"/>
    <w:rsid w:val="00104CBE"/>
    <w:rsid w:val="00161729"/>
    <w:rsid w:val="00176921"/>
    <w:rsid w:val="0018088C"/>
    <w:rsid w:val="001C4877"/>
    <w:rsid w:val="001C73ED"/>
    <w:rsid w:val="001E4C27"/>
    <w:rsid w:val="00222E3D"/>
    <w:rsid w:val="0022492F"/>
    <w:rsid w:val="00230270"/>
    <w:rsid w:val="002558AF"/>
    <w:rsid w:val="00264A38"/>
    <w:rsid w:val="002978AE"/>
    <w:rsid w:val="002B5B49"/>
    <w:rsid w:val="002C1EAA"/>
    <w:rsid w:val="002C24D2"/>
    <w:rsid w:val="002C4902"/>
    <w:rsid w:val="002E4C6F"/>
    <w:rsid w:val="002E65AE"/>
    <w:rsid w:val="002E796A"/>
    <w:rsid w:val="00307809"/>
    <w:rsid w:val="00316340"/>
    <w:rsid w:val="00325297"/>
    <w:rsid w:val="00333701"/>
    <w:rsid w:val="00350695"/>
    <w:rsid w:val="003532C0"/>
    <w:rsid w:val="003568D9"/>
    <w:rsid w:val="0035722F"/>
    <w:rsid w:val="003654ED"/>
    <w:rsid w:val="003B3A9E"/>
    <w:rsid w:val="003B3E12"/>
    <w:rsid w:val="00405D06"/>
    <w:rsid w:val="0041258E"/>
    <w:rsid w:val="00431015"/>
    <w:rsid w:val="004415A4"/>
    <w:rsid w:val="00452D82"/>
    <w:rsid w:val="004675A0"/>
    <w:rsid w:val="0047049C"/>
    <w:rsid w:val="004755A8"/>
    <w:rsid w:val="004775D5"/>
    <w:rsid w:val="00482498"/>
    <w:rsid w:val="00493AA4"/>
    <w:rsid w:val="004A6D9B"/>
    <w:rsid w:val="004A7203"/>
    <w:rsid w:val="004D53AD"/>
    <w:rsid w:val="004F113E"/>
    <w:rsid w:val="00502F03"/>
    <w:rsid w:val="00505604"/>
    <w:rsid w:val="00552060"/>
    <w:rsid w:val="005543DB"/>
    <w:rsid w:val="00555CDC"/>
    <w:rsid w:val="00572058"/>
    <w:rsid w:val="00574061"/>
    <w:rsid w:val="005A280D"/>
    <w:rsid w:val="005B0690"/>
    <w:rsid w:val="005B10E3"/>
    <w:rsid w:val="005E1D2D"/>
    <w:rsid w:val="005E60BB"/>
    <w:rsid w:val="005F489B"/>
    <w:rsid w:val="005F49B4"/>
    <w:rsid w:val="006023B9"/>
    <w:rsid w:val="00622864"/>
    <w:rsid w:val="0062286C"/>
    <w:rsid w:val="00634A9D"/>
    <w:rsid w:val="006355A5"/>
    <w:rsid w:val="00662C84"/>
    <w:rsid w:val="00683A41"/>
    <w:rsid w:val="006940AE"/>
    <w:rsid w:val="006A29B8"/>
    <w:rsid w:val="006A39EA"/>
    <w:rsid w:val="006B40AC"/>
    <w:rsid w:val="006B5C4C"/>
    <w:rsid w:val="006B7077"/>
    <w:rsid w:val="00713988"/>
    <w:rsid w:val="00715311"/>
    <w:rsid w:val="00721240"/>
    <w:rsid w:val="007269EB"/>
    <w:rsid w:val="007400E6"/>
    <w:rsid w:val="007613BE"/>
    <w:rsid w:val="00767E31"/>
    <w:rsid w:val="00775DD1"/>
    <w:rsid w:val="00790B08"/>
    <w:rsid w:val="00796D92"/>
    <w:rsid w:val="00797AE3"/>
    <w:rsid w:val="007A2954"/>
    <w:rsid w:val="007A4D5F"/>
    <w:rsid w:val="007B0BE5"/>
    <w:rsid w:val="007C5A18"/>
    <w:rsid w:val="007D4177"/>
    <w:rsid w:val="007E0EDD"/>
    <w:rsid w:val="007F3992"/>
    <w:rsid w:val="007F5C7C"/>
    <w:rsid w:val="0081297E"/>
    <w:rsid w:val="008706E3"/>
    <w:rsid w:val="00891C43"/>
    <w:rsid w:val="008B390E"/>
    <w:rsid w:val="008C4D74"/>
    <w:rsid w:val="008D397D"/>
    <w:rsid w:val="008D4DC3"/>
    <w:rsid w:val="008F4B52"/>
    <w:rsid w:val="00903315"/>
    <w:rsid w:val="00924B3E"/>
    <w:rsid w:val="00926FE8"/>
    <w:rsid w:val="0094211E"/>
    <w:rsid w:val="00973ED7"/>
    <w:rsid w:val="009919E5"/>
    <w:rsid w:val="00997848"/>
    <w:rsid w:val="009C697E"/>
    <w:rsid w:val="009D1D74"/>
    <w:rsid w:val="009D3700"/>
    <w:rsid w:val="009D7443"/>
    <w:rsid w:val="00A076A6"/>
    <w:rsid w:val="00A16611"/>
    <w:rsid w:val="00A21BAF"/>
    <w:rsid w:val="00A30C2A"/>
    <w:rsid w:val="00A3178D"/>
    <w:rsid w:val="00A34F31"/>
    <w:rsid w:val="00A36E4E"/>
    <w:rsid w:val="00A4766F"/>
    <w:rsid w:val="00A5312A"/>
    <w:rsid w:val="00A6298F"/>
    <w:rsid w:val="00A65D52"/>
    <w:rsid w:val="00A728FA"/>
    <w:rsid w:val="00AC3476"/>
    <w:rsid w:val="00AC4C01"/>
    <w:rsid w:val="00AF0149"/>
    <w:rsid w:val="00AF3CD9"/>
    <w:rsid w:val="00B30D1D"/>
    <w:rsid w:val="00B37771"/>
    <w:rsid w:val="00B70EB7"/>
    <w:rsid w:val="00B91E6D"/>
    <w:rsid w:val="00BA13C2"/>
    <w:rsid w:val="00BC668B"/>
    <w:rsid w:val="00BD13DA"/>
    <w:rsid w:val="00BD6A5C"/>
    <w:rsid w:val="00BF3423"/>
    <w:rsid w:val="00C05F94"/>
    <w:rsid w:val="00C12A0F"/>
    <w:rsid w:val="00C63E76"/>
    <w:rsid w:val="00C74DF8"/>
    <w:rsid w:val="00C76E5E"/>
    <w:rsid w:val="00C951C5"/>
    <w:rsid w:val="00C95914"/>
    <w:rsid w:val="00CA5499"/>
    <w:rsid w:val="00CA7D6E"/>
    <w:rsid w:val="00CB3A3D"/>
    <w:rsid w:val="00CB3F83"/>
    <w:rsid w:val="00CC246C"/>
    <w:rsid w:val="00D06C93"/>
    <w:rsid w:val="00D13CB8"/>
    <w:rsid w:val="00D26640"/>
    <w:rsid w:val="00D31320"/>
    <w:rsid w:val="00D35007"/>
    <w:rsid w:val="00D67F1E"/>
    <w:rsid w:val="00D82C62"/>
    <w:rsid w:val="00D82ED4"/>
    <w:rsid w:val="00D90117"/>
    <w:rsid w:val="00D901A1"/>
    <w:rsid w:val="00DA44A9"/>
    <w:rsid w:val="00DA6194"/>
    <w:rsid w:val="00DA6717"/>
    <w:rsid w:val="00DD5317"/>
    <w:rsid w:val="00DF2FCF"/>
    <w:rsid w:val="00E15E7B"/>
    <w:rsid w:val="00E16B08"/>
    <w:rsid w:val="00E23CA6"/>
    <w:rsid w:val="00E2400F"/>
    <w:rsid w:val="00E81ADD"/>
    <w:rsid w:val="00EC0B3E"/>
    <w:rsid w:val="00EE63D6"/>
    <w:rsid w:val="00F065C8"/>
    <w:rsid w:val="00F1295B"/>
    <w:rsid w:val="00F1308C"/>
    <w:rsid w:val="00F205BC"/>
    <w:rsid w:val="00F41308"/>
    <w:rsid w:val="00F86A3D"/>
    <w:rsid w:val="00F942D2"/>
    <w:rsid w:val="00FD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1BA7E"/>
  <w15:docId w15:val="{8F1190C8-5FEC-4766-AE66-85C0B46E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6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766F"/>
    <w:rPr>
      <w:sz w:val="18"/>
      <w:szCs w:val="18"/>
    </w:rPr>
  </w:style>
  <w:style w:type="paragraph" w:styleId="a5">
    <w:name w:val="footer"/>
    <w:basedOn w:val="a"/>
    <w:link w:val="a6"/>
    <w:uiPriority w:val="99"/>
    <w:unhideWhenUsed/>
    <w:rsid w:val="00A4766F"/>
    <w:pPr>
      <w:tabs>
        <w:tab w:val="center" w:pos="4153"/>
        <w:tab w:val="right" w:pos="8306"/>
      </w:tabs>
      <w:snapToGrid w:val="0"/>
      <w:jc w:val="left"/>
    </w:pPr>
    <w:rPr>
      <w:sz w:val="18"/>
      <w:szCs w:val="18"/>
    </w:rPr>
  </w:style>
  <w:style w:type="character" w:customStyle="1" w:styleId="a6">
    <w:name w:val="页脚 字符"/>
    <w:basedOn w:val="a0"/>
    <w:link w:val="a5"/>
    <w:uiPriority w:val="99"/>
    <w:rsid w:val="00A4766F"/>
    <w:rPr>
      <w:sz w:val="18"/>
      <w:szCs w:val="18"/>
    </w:rPr>
  </w:style>
  <w:style w:type="paragraph" w:styleId="a7">
    <w:name w:val="List Paragraph"/>
    <w:basedOn w:val="a"/>
    <w:uiPriority w:val="34"/>
    <w:qFormat/>
    <w:rsid w:val="00264A38"/>
    <w:pPr>
      <w:ind w:firstLineChars="200" w:firstLine="420"/>
    </w:pPr>
  </w:style>
  <w:style w:type="paragraph" w:styleId="a8">
    <w:name w:val="Normal (Web)"/>
    <w:basedOn w:val="a"/>
    <w:uiPriority w:val="99"/>
    <w:semiHidden/>
    <w:unhideWhenUsed/>
    <w:rsid w:val="004675A0"/>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BA13C2"/>
    <w:rPr>
      <w:color w:val="0563C1" w:themeColor="hyperlink"/>
      <w:u w:val="single"/>
    </w:rPr>
  </w:style>
  <w:style w:type="character" w:customStyle="1" w:styleId="1">
    <w:name w:val="未处理的提及1"/>
    <w:basedOn w:val="a0"/>
    <w:uiPriority w:val="99"/>
    <w:semiHidden/>
    <w:unhideWhenUsed/>
    <w:rsid w:val="00BA13C2"/>
    <w:rPr>
      <w:color w:val="605E5C"/>
      <w:shd w:val="clear" w:color="auto" w:fill="E1DFDD"/>
    </w:rPr>
  </w:style>
  <w:style w:type="paragraph" w:styleId="aa">
    <w:name w:val="Balloon Text"/>
    <w:basedOn w:val="a"/>
    <w:link w:val="ab"/>
    <w:uiPriority w:val="99"/>
    <w:semiHidden/>
    <w:unhideWhenUsed/>
    <w:rsid w:val="00622864"/>
    <w:rPr>
      <w:sz w:val="18"/>
      <w:szCs w:val="18"/>
    </w:rPr>
  </w:style>
  <w:style w:type="character" w:customStyle="1" w:styleId="ab">
    <w:name w:val="批注框文本 字符"/>
    <w:basedOn w:val="a0"/>
    <w:link w:val="aa"/>
    <w:uiPriority w:val="99"/>
    <w:semiHidden/>
    <w:rsid w:val="00622864"/>
    <w:rPr>
      <w:sz w:val="18"/>
      <w:szCs w:val="18"/>
    </w:rPr>
  </w:style>
  <w:style w:type="character" w:styleId="ac">
    <w:name w:val="Strong"/>
    <w:basedOn w:val="a0"/>
    <w:uiPriority w:val="22"/>
    <w:qFormat/>
    <w:rsid w:val="005B1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55119">
      <w:bodyDiv w:val="1"/>
      <w:marLeft w:val="0"/>
      <w:marRight w:val="0"/>
      <w:marTop w:val="0"/>
      <w:marBottom w:val="0"/>
      <w:divBdr>
        <w:top w:val="none" w:sz="0" w:space="0" w:color="auto"/>
        <w:left w:val="none" w:sz="0" w:space="0" w:color="auto"/>
        <w:bottom w:val="none" w:sz="0" w:space="0" w:color="auto"/>
        <w:right w:val="none" w:sz="0" w:space="0" w:color="auto"/>
      </w:divBdr>
    </w:div>
    <w:div w:id="1459759386">
      <w:bodyDiv w:val="1"/>
      <w:marLeft w:val="0"/>
      <w:marRight w:val="0"/>
      <w:marTop w:val="0"/>
      <w:marBottom w:val="0"/>
      <w:divBdr>
        <w:top w:val="none" w:sz="0" w:space="0" w:color="auto"/>
        <w:left w:val="none" w:sz="0" w:space="0" w:color="auto"/>
        <w:bottom w:val="none" w:sz="0" w:space="0" w:color="auto"/>
        <w:right w:val="none" w:sz="0" w:space="0" w:color="auto"/>
      </w:divBdr>
      <w:divsChild>
        <w:div w:id="1929462661">
          <w:marLeft w:val="0"/>
          <w:marRight w:val="0"/>
          <w:marTop w:val="0"/>
          <w:marBottom w:val="0"/>
          <w:divBdr>
            <w:top w:val="none" w:sz="0" w:space="0" w:color="auto"/>
            <w:left w:val="none" w:sz="0" w:space="0" w:color="auto"/>
            <w:bottom w:val="none" w:sz="0" w:space="0" w:color="auto"/>
            <w:right w:val="none" w:sz="0" w:space="0" w:color="auto"/>
          </w:divBdr>
          <w:divsChild>
            <w:div w:id="1701665718">
              <w:marLeft w:val="0"/>
              <w:marRight w:val="0"/>
              <w:marTop w:val="0"/>
              <w:marBottom w:val="0"/>
              <w:divBdr>
                <w:top w:val="none" w:sz="0" w:space="0" w:color="auto"/>
                <w:left w:val="none" w:sz="0" w:space="0" w:color="auto"/>
                <w:bottom w:val="none" w:sz="0" w:space="0" w:color="auto"/>
                <w:right w:val="none" w:sz="0" w:space="0" w:color="auto"/>
              </w:divBdr>
              <w:divsChild>
                <w:div w:id="108937126">
                  <w:marLeft w:val="0"/>
                  <w:marRight w:val="0"/>
                  <w:marTop w:val="0"/>
                  <w:marBottom w:val="0"/>
                  <w:divBdr>
                    <w:top w:val="none" w:sz="0" w:space="0" w:color="auto"/>
                    <w:left w:val="none" w:sz="0" w:space="0" w:color="auto"/>
                    <w:bottom w:val="none" w:sz="0" w:space="0" w:color="auto"/>
                    <w:right w:val="none" w:sz="0" w:space="0" w:color="auto"/>
                  </w:divBdr>
                  <w:divsChild>
                    <w:div w:id="1099258853">
                      <w:marLeft w:val="0"/>
                      <w:marRight w:val="0"/>
                      <w:marTop w:val="0"/>
                      <w:marBottom w:val="0"/>
                      <w:divBdr>
                        <w:top w:val="none" w:sz="0" w:space="0" w:color="auto"/>
                        <w:left w:val="none" w:sz="0" w:space="0" w:color="auto"/>
                        <w:bottom w:val="none" w:sz="0" w:space="0" w:color="auto"/>
                        <w:right w:val="none" w:sz="0" w:space="0" w:color="auto"/>
                      </w:divBdr>
                      <w:divsChild>
                        <w:div w:id="15447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6809-83C6-484C-AF3A-E1D61100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182</cp:revision>
  <dcterms:created xsi:type="dcterms:W3CDTF">2019-05-17T03:19:00Z</dcterms:created>
  <dcterms:modified xsi:type="dcterms:W3CDTF">2020-04-14T06:46:00Z</dcterms:modified>
</cp:coreProperties>
</file>