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AE3" w:rsidRPr="00797AE3" w:rsidRDefault="00797AE3" w:rsidP="00C74DF8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797AE3">
        <w:rPr>
          <w:rFonts w:ascii="华文中宋" w:eastAsia="华文中宋" w:hAnsi="华文中宋" w:hint="eastAsia"/>
          <w:b/>
          <w:sz w:val="36"/>
          <w:szCs w:val="36"/>
        </w:rPr>
        <w:t>中英益利资产管理股份有限公司系列宣传</w:t>
      </w:r>
      <w:r w:rsidR="00F75A02">
        <w:rPr>
          <w:rFonts w:ascii="华文中宋" w:eastAsia="华文中宋" w:hAnsi="华文中宋" w:hint="eastAsia"/>
          <w:b/>
          <w:sz w:val="36"/>
          <w:szCs w:val="36"/>
        </w:rPr>
        <w:t>六</w:t>
      </w:r>
    </w:p>
    <w:p w:rsidR="00C74DF8" w:rsidRPr="00797AE3" w:rsidRDefault="00797AE3" w:rsidP="00C74DF8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797AE3">
        <w:rPr>
          <w:rFonts w:ascii="华文中宋" w:eastAsia="华文中宋" w:hAnsi="华文中宋" w:hint="eastAsia"/>
          <w:b/>
          <w:sz w:val="36"/>
          <w:szCs w:val="36"/>
        </w:rPr>
        <w:t>——</w:t>
      </w:r>
      <w:r w:rsidR="00BB5C83">
        <w:rPr>
          <w:rFonts w:ascii="华文中宋" w:eastAsia="华文中宋" w:hAnsi="华文中宋" w:hint="eastAsia"/>
          <w:b/>
          <w:sz w:val="36"/>
          <w:szCs w:val="36"/>
        </w:rPr>
        <w:t>反洗钱监管动态</w:t>
      </w:r>
    </w:p>
    <w:p w:rsidR="00797AE3" w:rsidRDefault="00797AE3" w:rsidP="00F065C8">
      <w:pPr>
        <w:rPr>
          <w:rFonts w:ascii="华文中宋" w:eastAsia="华文中宋" w:hAnsi="华文中宋"/>
          <w:b/>
          <w:sz w:val="44"/>
          <w:szCs w:val="44"/>
        </w:rPr>
      </w:pPr>
    </w:p>
    <w:p w:rsidR="00B01B6D" w:rsidRPr="00B01B6D" w:rsidRDefault="00B01B6D" w:rsidP="00B01B6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近期，</w:t>
      </w:r>
      <w:r w:rsidR="006A065E">
        <w:rPr>
          <w:rFonts w:ascii="仿宋" w:eastAsia="仿宋" w:hAnsi="仿宋" w:hint="eastAsia"/>
          <w:sz w:val="32"/>
          <w:szCs w:val="32"/>
        </w:rPr>
        <w:t>某</w:t>
      </w:r>
      <w:r w:rsidRPr="00B01B6D">
        <w:rPr>
          <w:rFonts w:ascii="仿宋" w:eastAsia="仿宋" w:hAnsi="仿宋" w:hint="eastAsia"/>
          <w:sz w:val="32"/>
          <w:szCs w:val="32"/>
        </w:rPr>
        <w:t>银行成都分行</w:t>
      </w:r>
      <w:r>
        <w:rPr>
          <w:rFonts w:ascii="仿宋" w:eastAsia="仿宋" w:hAnsi="仿宋" w:hint="eastAsia"/>
          <w:sz w:val="32"/>
          <w:szCs w:val="32"/>
        </w:rPr>
        <w:t>因虚报瞒报数据以及反洗钱工作不到位，被</w:t>
      </w:r>
      <w:r w:rsidR="00241787">
        <w:rPr>
          <w:rFonts w:ascii="仿宋" w:eastAsia="仿宋" w:hAnsi="仿宋" w:hint="eastAsia"/>
          <w:sz w:val="32"/>
          <w:szCs w:val="32"/>
        </w:rPr>
        <w:t>中国人民银行</w:t>
      </w:r>
      <w:r>
        <w:rPr>
          <w:rFonts w:ascii="仿宋" w:eastAsia="仿宋" w:hAnsi="仿宋" w:hint="eastAsia"/>
          <w:sz w:val="32"/>
          <w:szCs w:val="32"/>
        </w:rPr>
        <w:t>成都分行</w:t>
      </w:r>
      <w:r w:rsidRPr="00B01B6D">
        <w:rPr>
          <w:rFonts w:ascii="仿宋" w:eastAsia="仿宋" w:hAnsi="仿宋" w:hint="eastAsia"/>
          <w:sz w:val="32"/>
          <w:szCs w:val="32"/>
        </w:rPr>
        <w:t>罚款近百万元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01B6D">
        <w:rPr>
          <w:rFonts w:ascii="仿宋" w:eastAsia="仿宋" w:hAnsi="仿宋"/>
          <w:sz w:val="32"/>
          <w:szCs w:val="32"/>
        </w:rPr>
        <w:t>2名相关直接责任人员同时被罚。</w:t>
      </w:r>
    </w:p>
    <w:p w:rsidR="00241787" w:rsidRDefault="00241787" w:rsidP="00B01B6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="0078179A">
        <w:rPr>
          <w:rFonts w:ascii="仿宋" w:eastAsia="仿宋" w:hAnsi="仿宋" w:hint="eastAsia"/>
          <w:sz w:val="32"/>
          <w:szCs w:val="32"/>
        </w:rPr>
        <w:t>中国人民银行成都分行公布的行政处罚信息公示表</w:t>
      </w:r>
      <w:r w:rsidR="00B01B6D" w:rsidRPr="00B01B6D">
        <w:rPr>
          <w:rFonts w:ascii="仿宋" w:eastAsia="仿宋" w:hAnsi="仿宋"/>
          <w:sz w:val="32"/>
          <w:szCs w:val="32"/>
        </w:rPr>
        <w:t>，</w:t>
      </w:r>
      <w:r w:rsidR="006A065E">
        <w:rPr>
          <w:rFonts w:ascii="仿宋" w:eastAsia="仿宋" w:hAnsi="仿宋" w:hint="eastAsia"/>
          <w:sz w:val="32"/>
          <w:szCs w:val="32"/>
        </w:rPr>
        <w:t>该</w:t>
      </w:r>
      <w:r w:rsidR="00B01B6D" w:rsidRPr="00B01B6D">
        <w:rPr>
          <w:rFonts w:ascii="仿宋" w:eastAsia="仿宋" w:hAnsi="仿宋"/>
          <w:sz w:val="32"/>
          <w:szCs w:val="32"/>
        </w:rPr>
        <w:t>银行</w:t>
      </w:r>
      <w:r>
        <w:rPr>
          <w:rFonts w:ascii="仿宋" w:eastAsia="仿宋" w:hAnsi="仿宋" w:hint="eastAsia"/>
          <w:sz w:val="32"/>
          <w:szCs w:val="32"/>
        </w:rPr>
        <w:t>成都分行</w:t>
      </w:r>
      <w:r w:rsidR="00B01B6D" w:rsidRPr="00B01B6D">
        <w:rPr>
          <w:rFonts w:ascii="仿宋" w:eastAsia="仿宋" w:hAnsi="仿宋"/>
          <w:sz w:val="32"/>
          <w:szCs w:val="32"/>
        </w:rPr>
        <w:t>存在</w:t>
      </w:r>
      <w:r>
        <w:rPr>
          <w:rFonts w:ascii="仿宋" w:eastAsia="仿宋" w:hAnsi="仿宋" w:hint="eastAsia"/>
          <w:sz w:val="32"/>
          <w:szCs w:val="32"/>
        </w:rPr>
        <w:t>五大违规行为：一是</w:t>
      </w:r>
      <w:r w:rsidR="00B01B6D" w:rsidRPr="00B01B6D">
        <w:rPr>
          <w:rFonts w:ascii="仿宋" w:eastAsia="仿宋" w:hAnsi="仿宋"/>
          <w:sz w:val="32"/>
          <w:szCs w:val="32"/>
        </w:rPr>
        <w:t>虚报、瞒报金融统计数据；</w:t>
      </w:r>
      <w:r>
        <w:rPr>
          <w:rFonts w:ascii="仿宋" w:eastAsia="仿宋" w:hAnsi="仿宋" w:hint="eastAsia"/>
          <w:sz w:val="32"/>
          <w:szCs w:val="32"/>
        </w:rPr>
        <w:t>二是</w:t>
      </w:r>
      <w:r w:rsidR="00B01B6D" w:rsidRPr="00B01B6D">
        <w:rPr>
          <w:rFonts w:ascii="仿宋" w:eastAsia="仿宋" w:hAnsi="仿宋"/>
          <w:sz w:val="32"/>
          <w:szCs w:val="32"/>
        </w:rPr>
        <w:t>对外支付残缺、污损人民币；</w:t>
      </w:r>
      <w:r>
        <w:rPr>
          <w:rFonts w:ascii="仿宋" w:eastAsia="仿宋" w:hAnsi="仿宋" w:hint="eastAsia"/>
          <w:sz w:val="32"/>
          <w:szCs w:val="32"/>
        </w:rPr>
        <w:t>三是</w:t>
      </w:r>
      <w:r w:rsidR="00B01B6D" w:rsidRPr="00B01B6D">
        <w:rPr>
          <w:rFonts w:ascii="仿宋" w:eastAsia="仿宋" w:hAnsi="仿宋"/>
          <w:sz w:val="32"/>
          <w:szCs w:val="32"/>
        </w:rPr>
        <w:t>开立部分个人银行结算账户未备案；</w:t>
      </w:r>
      <w:r>
        <w:rPr>
          <w:rFonts w:ascii="仿宋" w:eastAsia="仿宋" w:hAnsi="仿宋" w:hint="eastAsia"/>
          <w:sz w:val="32"/>
          <w:szCs w:val="32"/>
        </w:rPr>
        <w:t>四是</w:t>
      </w:r>
      <w:r w:rsidR="00B01B6D" w:rsidRPr="00B01B6D">
        <w:rPr>
          <w:rFonts w:ascii="仿宋" w:eastAsia="仿宋" w:hAnsi="仿宋"/>
          <w:sz w:val="32"/>
          <w:szCs w:val="32"/>
        </w:rPr>
        <w:t>未按照规定履行客户身份识别义务；</w:t>
      </w:r>
      <w:r>
        <w:rPr>
          <w:rFonts w:ascii="仿宋" w:eastAsia="仿宋" w:hAnsi="仿宋" w:hint="eastAsia"/>
          <w:sz w:val="32"/>
          <w:szCs w:val="32"/>
        </w:rPr>
        <w:t>五是</w:t>
      </w:r>
      <w:r w:rsidR="00B01B6D" w:rsidRPr="00B01B6D">
        <w:rPr>
          <w:rFonts w:ascii="仿宋" w:eastAsia="仿宋" w:hAnsi="仿宋"/>
          <w:sz w:val="32"/>
          <w:szCs w:val="32"/>
        </w:rPr>
        <w:t>未按照规定报送大额交易报告或者可疑交易报告</w:t>
      </w:r>
      <w:r w:rsidR="00A21962">
        <w:rPr>
          <w:rFonts w:ascii="仿宋" w:eastAsia="仿宋" w:hAnsi="仿宋" w:hint="eastAsia"/>
          <w:sz w:val="32"/>
          <w:szCs w:val="32"/>
        </w:rPr>
        <w:t>。</w:t>
      </w:r>
    </w:p>
    <w:p w:rsidR="00D1718A" w:rsidRPr="002D1420" w:rsidRDefault="0078179A" w:rsidP="002D1420">
      <w:pPr>
        <w:widowControl/>
        <w:shd w:val="clear" w:color="auto" w:fill="FFFFFF"/>
        <w:spacing w:line="420" w:lineRule="atLeas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020</w:t>
      </w:r>
      <w:r>
        <w:rPr>
          <w:rFonts w:ascii="仿宋" w:eastAsia="仿宋" w:hAnsi="仿宋" w:hint="eastAsia"/>
          <w:sz w:val="32"/>
          <w:szCs w:val="32"/>
        </w:rPr>
        <w:t>年以来，</w:t>
      </w:r>
      <w:r w:rsidR="00241787">
        <w:rPr>
          <w:rFonts w:ascii="仿宋" w:eastAsia="仿宋" w:hAnsi="仿宋" w:hint="eastAsia"/>
          <w:sz w:val="32"/>
          <w:szCs w:val="32"/>
        </w:rPr>
        <w:t>反洗钱监管力度</w:t>
      </w:r>
      <w:r>
        <w:rPr>
          <w:rFonts w:ascii="仿宋" w:eastAsia="仿宋" w:hAnsi="仿宋" w:hint="eastAsia"/>
          <w:sz w:val="32"/>
          <w:szCs w:val="32"/>
        </w:rPr>
        <w:t>逐步加大</w:t>
      </w:r>
      <w:r w:rsidR="00241787">
        <w:rPr>
          <w:rFonts w:ascii="仿宋" w:eastAsia="仿宋" w:hAnsi="仿宋" w:hint="eastAsia"/>
          <w:sz w:val="32"/>
          <w:szCs w:val="32"/>
        </w:rPr>
        <w:t>。</w:t>
      </w:r>
      <w:r w:rsidR="00450DF2">
        <w:rPr>
          <w:rFonts w:ascii="仿宋" w:eastAsia="仿宋" w:hAnsi="仿宋" w:hint="eastAsia"/>
          <w:sz w:val="32"/>
          <w:szCs w:val="32"/>
        </w:rPr>
        <w:t>1月2日-</w:t>
      </w:r>
      <w:r w:rsidR="00450DF2">
        <w:rPr>
          <w:rFonts w:ascii="仿宋" w:eastAsia="仿宋" w:hAnsi="仿宋"/>
          <w:sz w:val="32"/>
          <w:szCs w:val="32"/>
        </w:rPr>
        <w:t>3</w:t>
      </w:r>
      <w:r w:rsidR="00450DF2">
        <w:rPr>
          <w:rFonts w:ascii="仿宋" w:eastAsia="仿宋" w:hAnsi="仿宋" w:hint="eastAsia"/>
          <w:sz w:val="32"/>
          <w:szCs w:val="32"/>
        </w:rPr>
        <w:t>日，中国人民银行召开2</w:t>
      </w:r>
      <w:r w:rsidR="00450DF2">
        <w:rPr>
          <w:rFonts w:ascii="仿宋" w:eastAsia="仿宋" w:hAnsi="仿宋"/>
          <w:sz w:val="32"/>
          <w:szCs w:val="32"/>
        </w:rPr>
        <w:t>020</w:t>
      </w:r>
      <w:r w:rsidR="00450DF2">
        <w:rPr>
          <w:rFonts w:ascii="仿宋" w:eastAsia="仿宋" w:hAnsi="仿宋" w:hint="eastAsia"/>
          <w:sz w:val="32"/>
          <w:szCs w:val="32"/>
        </w:rPr>
        <w:t>年工作会议，强调要</w:t>
      </w:r>
      <w:r w:rsidR="00450DF2" w:rsidRPr="00450DF2">
        <w:rPr>
          <w:rFonts w:ascii="仿宋" w:eastAsia="仿宋" w:hAnsi="仿宋"/>
          <w:sz w:val="32"/>
          <w:szCs w:val="32"/>
        </w:rPr>
        <w:t>进一步加强反洗钱协调机制建设，继续强化反洗钱监管力度。</w:t>
      </w:r>
      <w:r>
        <w:rPr>
          <w:rFonts w:ascii="仿宋" w:eastAsia="仿宋" w:hAnsi="仿宋" w:hint="eastAsia"/>
          <w:sz w:val="32"/>
          <w:szCs w:val="32"/>
        </w:rPr>
        <w:t>1月3日，</w:t>
      </w:r>
      <w:r w:rsidRPr="00CA7D6E">
        <w:rPr>
          <w:rFonts w:ascii="仿宋" w:eastAsia="仿宋" w:hAnsi="仿宋" w:cs="宋体" w:hint="eastAsia"/>
          <w:color w:val="333333"/>
          <w:spacing w:val="7"/>
          <w:kern w:val="0"/>
          <w:sz w:val="32"/>
          <w:szCs w:val="32"/>
        </w:rPr>
        <w:t>中国银保监会发布《关于进一步做好银行业保险业反洗钱和反恐怖融资工作的通知》</w:t>
      </w:r>
      <w:r w:rsidR="00487725">
        <w:rPr>
          <w:rFonts w:ascii="仿宋" w:eastAsia="仿宋" w:hAnsi="仿宋" w:cs="宋体" w:hint="eastAsia"/>
          <w:color w:val="333333"/>
          <w:spacing w:val="7"/>
          <w:kern w:val="0"/>
          <w:sz w:val="32"/>
          <w:szCs w:val="32"/>
        </w:rPr>
        <w:t>，明确将</w:t>
      </w:r>
      <w:r w:rsidR="00487725" w:rsidRPr="002C1EAA">
        <w:rPr>
          <w:rFonts w:ascii="仿宋" w:eastAsia="仿宋" w:hAnsi="仿宋" w:cs="宋体" w:hint="eastAsia"/>
          <w:color w:val="333333"/>
          <w:spacing w:val="7"/>
          <w:kern w:val="0"/>
          <w:sz w:val="32"/>
          <w:szCs w:val="32"/>
        </w:rPr>
        <w:t>机构反洗钱和反恐怖融资内控制度建立和执行情况</w:t>
      </w:r>
      <w:r w:rsidR="00487725">
        <w:rPr>
          <w:rFonts w:ascii="仿宋" w:eastAsia="仿宋" w:hAnsi="仿宋" w:cs="宋体" w:hint="eastAsia"/>
          <w:color w:val="333333"/>
          <w:spacing w:val="7"/>
          <w:kern w:val="0"/>
          <w:sz w:val="32"/>
          <w:szCs w:val="32"/>
        </w:rPr>
        <w:t>作为现场</w:t>
      </w:r>
      <w:r w:rsidR="00487725" w:rsidRPr="002C1EAA">
        <w:rPr>
          <w:rFonts w:ascii="仿宋" w:eastAsia="仿宋" w:hAnsi="仿宋" w:cs="宋体" w:hint="eastAsia"/>
          <w:color w:val="333333"/>
          <w:spacing w:val="7"/>
          <w:kern w:val="0"/>
          <w:sz w:val="32"/>
          <w:szCs w:val="32"/>
        </w:rPr>
        <w:t>检</w:t>
      </w:r>
      <w:r w:rsidR="0009422C">
        <w:rPr>
          <w:rFonts w:ascii="仿宋" w:eastAsia="仿宋" w:hAnsi="仿宋" w:cs="宋体" w:hint="eastAsia"/>
          <w:color w:val="333333"/>
          <w:spacing w:val="7"/>
          <w:kern w:val="0"/>
          <w:sz w:val="32"/>
          <w:szCs w:val="32"/>
        </w:rPr>
        <w:t>查</w:t>
      </w:r>
      <w:r w:rsidR="00487725" w:rsidRPr="002C1EAA">
        <w:rPr>
          <w:rFonts w:ascii="仿宋" w:eastAsia="仿宋" w:hAnsi="仿宋" w:cs="宋体" w:hint="eastAsia"/>
          <w:color w:val="333333"/>
          <w:spacing w:val="7"/>
          <w:kern w:val="0"/>
          <w:sz w:val="32"/>
          <w:szCs w:val="32"/>
        </w:rPr>
        <w:t>重点</w:t>
      </w:r>
      <w:r w:rsidR="00487725">
        <w:rPr>
          <w:rFonts w:ascii="仿宋" w:eastAsia="仿宋" w:hAnsi="仿宋" w:cs="宋体" w:hint="eastAsia"/>
          <w:color w:val="333333"/>
          <w:spacing w:val="7"/>
          <w:kern w:val="0"/>
          <w:sz w:val="32"/>
          <w:szCs w:val="32"/>
        </w:rPr>
        <w:t>，同时</w:t>
      </w:r>
      <w:r w:rsidR="00487725" w:rsidRPr="002C1EAA">
        <w:rPr>
          <w:rFonts w:ascii="仿宋" w:eastAsia="仿宋" w:hAnsi="仿宋" w:cs="宋体" w:hint="eastAsia"/>
          <w:color w:val="333333"/>
          <w:spacing w:val="7"/>
          <w:kern w:val="0"/>
          <w:sz w:val="32"/>
          <w:szCs w:val="32"/>
        </w:rPr>
        <w:t>加强与人民银行及其分支机构在规则制定、现场检查、非现场监管及行政处罚工作中</w:t>
      </w:r>
      <w:r w:rsidR="00487725">
        <w:rPr>
          <w:rFonts w:ascii="仿宋" w:eastAsia="仿宋" w:hAnsi="仿宋" w:cs="宋体" w:hint="eastAsia"/>
          <w:color w:val="333333"/>
          <w:spacing w:val="7"/>
          <w:kern w:val="0"/>
          <w:sz w:val="32"/>
          <w:szCs w:val="32"/>
        </w:rPr>
        <w:t>的</w:t>
      </w:r>
      <w:r w:rsidR="00487725" w:rsidRPr="002C1EAA">
        <w:rPr>
          <w:rFonts w:ascii="仿宋" w:eastAsia="仿宋" w:hAnsi="仿宋" w:cs="宋体" w:hint="eastAsia"/>
          <w:color w:val="333333"/>
          <w:spacing w:val="7"/>
          <w:kern w:val="0"/>
          <w:sz w:val="32"/>
          <w:szCs w:val="32"/>
        </w:rPr>
        <w:t>沟通协作，推动形成监管合力。</w:t>
      </w:r>
      <w:r w:rsidR="00AE566D" w:rsidRPr="00AE566D">
        <w:rPr>
          <w:rFonts w:ascii="仿宋" w:eastAsia="仿宋" w:hAnsi="仿宋"/>
          <w:sz w:val="32"/>
          <w:szCs w:val="32"/>
        </w:rPr>
        <w:t>4月15日，</w:t>
      </w:r>
      <w:r w:rsidR="00D1718A">
        <w:rPr>
          <w:rFonts w:ascii="仿宋" w:eastAsia="仿宋" w:hAnsi="仿宋" w:hint="eastAsia"/>
          <w:sz w:val="32"/>
          <w:szCs w:val="32"/>
        </w:rPr>
        <w:t>中国</w:t>
      </w:r>
      <w:r w:rsidR="00AE566D" w:rsidRPr="00AE566D">
        <w:rPr>
          <w:rFonts w:ascii="仿宋" w:eastAsia="仿宋" w:hAnsi="仿宋"/>
          <w:sz w:val="32"/>
          <w:szCs w:val="32"/>
        </w:rPr>
        <w:t>人民银行2020年反洗钱工作电视电话会议</w:t>
      </w:r>
      <w:r w:rsidR="00AE566D" w:rsidRPr="00AE566D">
        <w:rPr>
          <w:rFonts w:ascii="仿宋" w:eastAsia="仿宋" w:hAnsi="仿宋"/>
          <w:sz w:val="32"/>
          <w:szCs w:val="32"/>
        </w:rPr>
        <w:lastRenderedPageBreak/>
        <w:t>在北京召开</w:t>
      </w:r>
      <w:r w:rsidR="002D1420">
        <w:rPr>
          <w:rFonts w:ascii="仿宋" w:eastAsia="仿宋" w:hAnsi="仿宋" w:hint="eastAsia"/>
          <w:sz w:val="32"/>
          <w:szCs w:val="32"/>
        </w:rPr>
        <w:t>，</w:t>
      </w:r>
      <w:r w:rsidR="00AE566D" w:rsidRPr="00AE566D">
        <w:rPr>
          <w:rFonts w:ascii="仿宋" w:eastAsia="仿宋" w:hAnsi="仿宋"/>
          <w:sz w:val="32"/>
          <w:szCs w:val="32"/>
        </w:rPr>
        <w:t>会议充分肯定了2019年人民银行反洗钱工作成绩，分析了当前反洗钱工作形势，对今后一段时期反洗钱工作进行了全面部署。</w:t>
      </w:r>
    </w:p>
    <w:p w:rsidR="00D1718A" w:rsidRDefault="00AE566D" w:rsidP="00AE566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566D">
        <w:rPr>
          <w:rFonts w:ascii="仿宋" w:eastAsia="仿宋" w:hAnsi="仿宋"/>
          <w:sz w:val="32"/>
          <w:szCs w:val="32"/>
        </w:rPr>
        <w:t>会议认为，在党中央、国务院正确领导下，人民银行会同反洗钱工作部际联席会议成员单位共同努力，中国互评估报告通过金融行动特别工作组（FATF）全会审议，《反洗钱法》修改工作正式启动，反洗钱工作纳入国务院金融委议事日程，反洗钱规划协调、监管调查、监测分析工作迈上了新的台阶，担任国际反洗钱组织主</w:t>
      </w:r>
      <w:r w:rsidRPr="00AE566D">
        <w:rPr>
          <w:rFonts w:ascii="仿宋" w:eastAsia="仿宋" w:hAnsi="仿宋" w:hint="eastAsia"/>
          <w:sz w:val="32"/>
          <w:szCs w:val="32"/>
        </w:rPr>
        <w:t>席国、深化国际合作等事务也取得积极进展。</w:t>
      </w:r>
    </w:p>
    <w:p w:rsidR="00D1718A" w:rsidRDefault="00AE566D" w:rsidP="00AE566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566D">
        <w:rPr>
          <w:rFonts w:ascii="仿宋" w:eastAsia="仿宋" w:hAnsi="仿宋" w:hint="eastAsia"/>
          <w:sz w:val="32"/>
          <w:szCs w:val="32"/>
        </w:rPr>
        <w:t>会议指出，要深入学习习近平新时代中国特色社会主义思想，提高政治站位，从维护国家经济金融安全、推进国家治理体系和治理能力现代化以及参与全球治理的高度，深刻认识反洗钱工作的重要意义，增强做好反洗钱工作的使命感和责任感，充分发挥反洗钱的重要作用。一是以《反洗钱法》修改为主线，全面完善反洗钱制度体系；二是在国务院金融委指导下，进一步加强反洗钱协调机制建设；三是坚持问题导向，全力推进国际反洗钱互评估后续整改工作；四是坚持风险为本，强化监管力度，进一步提高反洗钱监管有效性；五是充分发挥反洗钱调查和监测分析工作优势，积极打击洗钱及相关犯罪活动。</w:t>
      </w:r>
    </w:p>
    <w:p w:rsidR="00B01B6D" w:rsidRPr="00B01B6D" w:rsidRDefault="00AE566D" w:rsidP="00B01B6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E566D">
        <w:rPr>
          <w:rFonts w:ascii="仿宋" w:eastAsia="仿宋" w:hAnsi="仿宋" w:hint="eastAsia"/>
          <w:sz w:val="32"/>
          <w:szCs w:val="32"/>
        </w:rPr>
        <w:t>会议强调，要统筹做好新冠肺炎疫情防控和反洗钱工作，</w:t>
      </w:r>
      <w:r w:rsidRPr="00AE566D">
        <w:rPr>
          <w:rFonts w:ascii="仿宋" w:eastAsia="仿宋" w:hAnsi="仿宋" w:hint="eastAsia"/>
          <w:sz w:val="32"/>
          <w:szCs w:val="32"/>
        </w:rPr>
        <w:lastRenderedPageBreak/>
        <w:t>全面加强反洗钱系统党的建设，坚持全面从严治党，加强反洗钱队伍建设，为依法有效履职提供坚强的政治保障。</w:t>
      </w:r>
    </w:p>
    <w:sectPr w:rsidR="00B01B6D" w:rsidRPr="00B01B6D" w:rsidSect="0006145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6DF" w:rsidRDefault="003C26DF" w:rsidP="00A4766F">
      <w:r>
        <w:separator/>
      </w:r>
    </w:p>
  </w:endnote>
  <w:endnote w:type="continuationSeparator" w:id="0">
    <w:p w:rsidR="003C26DF" w:rsidRDefault="003C26DF" w:rsidP="00A4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62103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60C8F" w:rsidRDefault="00D60C8F" w:rsidP="00D60C8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0C8F" w:rsidRDefault="00D60C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6DF" w:rsidRDefault="003C26DF" w:rsidP="00A4766F">
      <w:r>
        <w:separator/>
      </w:r>
    </w:p>
  </w:footnote>
  <w:footnote w:type="continuationSeparator" w:id="0">
    <w:p w:rsidR="003C26DF" w:rsidRDefault="003C26DF" w:rsidP="00A4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A0D64"/>
    <w:multiLevelType w:val="hybridMultilevel"/>
    <w:tmpl w:val="0B180FF6"/>
    <w:lvl w:ilvl="0" w:tplc="3CA26B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945246"/>
    <w:multiLevelType w:val="hybridMultilevel"/>
    <w:tmpl w:val="D2C2EC7C"/>
    <w:lvl w:ilvl="0" w:tplc="1BA03CB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5AE"/>
    <w:rsid w:val="00022347"/>
    <w:rsid w:val="00041E60"/>
    <w:rsid w:val="000519CC"/>
    <w:rsid w:val="0006145E"/>
    <w:rsid w:val="0009422C"/>
    <w:rsid w:val="000B1225"/>
    <w:rsid w:val="000B7B65"/>
    <w:rsid w:val="00100DF4"/>
    <w:rsid w:val="00104CBE"/>
    <w:rsid w:val="0018088C"/>
    <w:rsid w:val="001C4877"/>
    <w:rsid w:val="001C73ED"/>
    <w:rsid w:val="00222E3D"/>
    <w:rsid w:val="00241787"/>
    <w:rsid w:val="00252E96"/>
    <w:rsid w:val="002558AF"/>
    <w:rsid w:val="00264A38"/>
    <w:rsid w:val="00290769"/>
    <w:rsid w:val="002978AE"/>
    <w:rsid w:val="002B5B49"/>
    <w:rsid w:val="002C4902"/>
    <w:rsid w:val="002D1420"/>
    <w:rsid w:val="002E65AE"/>
    <w:rsid w:val="002E796A"/>
    <w:rsid w:val="00307809"/>
    <w:rsid w:val="00316340"/>
    <w:rsid w:val="00325297"/>
    <w:rsid w:val="00350695"/>
    <w:rsid w:val="003568D9"/>
    <w:rsid w:val="003654ED"/>
    <w:rsid w:val="00387166"/>
    <w:rsid w:val="003B3A9E"/>
    <w:rsid w:val="003C26DF"/>
    <w:rsid w:val="00405D06"/>
    <w:rsid w:val="0041258E"/>
    <w:rsid w:val="00431015"/>
    <w:rsid w:val="004415A4"/>
    <w:rsid w:val="00450DF2"/>
    <w:rsid w:val="00452D82"/>
    <w:rsid w:val="004675A0"/>
    <w:rsid w:val="0047049C"/>
    <w:rsid w:val="004755A8"/>
    <w:rsid w:val="00487725"/>
    <w:rsid w:val="004A7203"/>
    <w:rsid w:val="004D2C80"/>
    <w:rsid w:val="004D53AD"/>
    <w:rsid w:val="004E6522"/>
    <w:rsid w:val="004E7464"/>
    <w:rsid w:val="004F3BFD"/>
    <w:rsid w:val="00505604"/>
    <w:rsid w:val="00552060"/>
    <w:rsid w:val="00555915"/>
    <w:rsid w:val="00572058"/>
    <w:rsid w:val="005E1D2D"/>
    <w:rsid w:val="005F489B"/>
    <w:rsid w:val="005F49B4"/>
    <w:rsid w:val="00622864"/>
    <w:rsid w:val="0062286C"/>
    <w:rsid w:val="00634A9D"/>
    <w:rsid w:val="00647545"/>
    <w:rsid w:val="006940AE"/>
    <w:rsid w:val="006A065E"/>
    <w:rsid w:val="006B5C4C"/>
    <w:rsid w:val="006F1C8C"/>
    <w:rsid w:val="00713988"/>
    <w:rsid w:val="00721240"/>
    <w:rsid w:val="007269EB"/>
    <w:rsid w:val="007574C7"/>
    <w:rsid w:val="00767E31"/>
    <w:rsid w:val="0078179A"/>
    <w:rsid w:val="007929E7"/>
    <w:rsid w:val="00796D92"/>
    <w:rsid w:val="00797AE3"/>
    <w:rsid w:val="007A4D5F"/>
    <w:rsid w:val="007A6582"/>
    <w:rsid w:val="007B66ED"/>
    <w:rsid w:val="007C2CC3"/>
    <w:rsid w:val="0081297E"/>
    <w:rsid w:val="008706E3"/>
    <w:rsid w:val="00891C43"/>
    <w:rsid w:val="008A7924"/>
    <w:rsid w:val="008D397D"/>
    <w:rsid w:val="008D4DC3"/>
    <w:rsid w:val="008F4B52"/>
    <w:rsid w:val="008F602F"/>
    <w:rsid w:val="00903315"/>
    <w:rsid w:val="00926FE8"/>
    <w:rsid w:val="00973ED7"/>
    <w:rsid w:val="009919E5"/>
    <w:rsid w:val="00997848"/>
    <w:rsid w:val="009A2D97"/>
    <w:rsid w:val="009D1D74"/>
    <w:rsid w:val="009E1B9E"/>
    <w:rsid w:val="00A076A6"/>
    <w:rsid w:val="00A21962"/>
    <w:rsid w:val="00A21BAF"/>
    <w:rsid w:val="00A27F98"/>
    <w:rsid w:val="00A34F31"/>
    <w:rsid w:val="00A36E4E"/>
    <w:rsid w:val="00A45DCA"/>
    <w:rsid w:val="00A4766F"/>
    <w:rsid w:val="00A6298F"/>
    <w:rsid w:val="00A728FA"/>
    <w:rsid w:val="00AC3476"/>
    <w:rsid w:val="00AE566D"/>
    <w:rsid w:val="00AF0149"/>
    <w:rsid w:val="00AF3CD9"/>
    <w:rsid w:val="00B01B6D"/>
    <w:rsid w:val="00B30D1D"/>
    <w:rsid w:val="00B37771"/>
    <w:rsid w:val="00B70EB7"/>
    <w:rsid w:val="00B92E49"/>
    <w:rsid w:val="00BA13C2"/>
    <w:rsid w:val="00BB5C83"/>
    <w:rsid w:val="00BC668B"/>
    <w:rsid w:val="00BD13DA"/>
    <w:rsid w:val="00BD6A5C"/>
    <w:rsid w:val="00BF3423"/>
    <w:rsid w:val="00C46FAC"/>
    <w:rsid w:val="00C63E76"/>
    <w:rsid w:val="00C74DF8"/>
    <w:rsid w:val="00C76E5E"/>
    <w:rsid w:val="00C95914"/>
    <w:rsid w:val="00CA5499"/>
    <w:rsid w:val="00D1718A"/>
    <w:rsid w:val="00D22EC8"/>
    <w:rsid w:val="00D25C0D"/>
    <w:rsid w:val="00D60C8F"/>
    <w:rsid w:val="00D67F1E"/>
    <w:rsid w:val="00D82ED4"/>
    <w:rsid w:val="00DA44A9"/>
    <w:rsid w:val="00DA6717"/>
    <w:rsid w:val="00DD5317"/>
    <w:rsid w:val="00DF1C79"/>
    <w:rsid w:val="00DF2FCF"/>
    <w:rsid w:val="00E15E7B"/>
    <w:rsid w:val="00E23CA6"/>
    <w:rsid w:val="00E47535"/>
    <w:rsid w:val="00E81ADD"/>
    <w:rsid w:val="00EC0B3E"/>
    <w:rsid w:val="00EE63D6"/>
    <w:rsid w:val="00F065C8"/>
    <w:rsid w:val="00F205BC"/>
    <w:rsid w:val="00F41308"/>
    <w:rsid w:val="00F73E09"/>
    <w:rsid w:val="00F75A02"/>
    <w:rsid w:val="00F86A3D"/>
    <w:rsid w:val="00F942D2"/>
    <w:rsid w:val="00FD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3B325"/>
  <w15:docId w15:val="{8F1190C8-5FEC-4766-AE66-85C0B46E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6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66F"/>
    <w:rPr>
      <w:sz w:val="18"/>
      <w:szCs w:val="18"/>
    </w:rPr>
  </w:style>
  <w:style w:type="paragraph" w:styleId="a7">
    <w:name w:val="List Paragraph"/>
    <w:basedOn w:val="a"/>
    <w:uiPriority w:val="34"/>
    <w:qFormat/>
    <w:rsid w:val="00264A3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4675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BA13C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A13C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2286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228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A6C9E-0839-48AE-A9A8-F935A39F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141</cp:revision>
  <dcterms:created xsi:type="dcterms:W3CDTF">2019-05-17T03:19:00Z</dcterms:created>
  <dcterms:modified xsi:type="dcterms:W3CDTF">2020-05-13T07:07:00Z</dcterms:modified>
</cp:coreProperties>
</file>